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960" w:after="120" w:line="280"/>
        <w:ind w:right="70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8"/>
          <w:shd w:fill="auto" w:val="clear"/>
        </w:rPr>
      </w:pPr>
    </w:p>
    <w:p>
      <w:pPr>
        <w:keepNext w:val="true"/>
        <w:keepLines w:val="true"/>
        <w:spacing w:before="240" w:after="120" w:line="28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58"/>
          <w:shd w:fill="auto" w:val="clear"/>
        </w:rPr>
      </w:pPr>
    </w:p>
    <w:p>
      <w:pPr>
        <w:spacing w:before="0" w:after="0" w:line="280"/>
        <w:ind w:right="703" w:left="0" w:firstLine="0"/>
        <w:jc w:val="both"/>
        <w:rPr>
          <w:rFonts w:ascii="Akkurat Pro" w:hAnsi="Akkurat Pro" w:cs="Akkurat Pro" w:eastAsia="Akkurat Pro"/>
          <w:color w:val="auto"/>
          <w:spacing w:val="0"/>
          <w:position w:val="0"/>
          <w:sz w:val="22"/>
          <w:shd w:fill="auto" w:val="clear"/>
        </w:rPr>
      </w:pPr>
      <w:r>
        <w:object w:dxaOrig="3518" w:dyaOrig="769">
          <v:rect xmlns:o="urn:schemas-microsoft-com:office:office" xmlns:v="urn:schemas-microsoft-com:vml" id="rectole0000000000" style="width:175.900000pt;height:3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kkurat Pro" w:hAnsi="Akkurat Pro" w:cs="Akkurat Pro" w:eastAsia="Akkurat Pro"/>
          <w:color w:val="auto"/>
          <w:spacing w:val="0"/>
          <w:position w:val="0"/>
          <w:sz w:val="22"/>
          <w:shd w:fill="auto" w:val="clear"/>
        </w:rPr>
        <w:t xml:space="preserve">Version:  | </w:t>
      </w:r>
    </w:p>
    <w:p>
      <w:pPr>
        <w:spacing w:before="0" w:after="0" w:line="280"/>
        <w:ind w:right="703" w:left="0" w:firstLine="0"/>
        <w:jc w:val="both"/>
        <w:rPr>
          <w:rFonts w:ascii="Akkurat Pro" w:hAnsi="Akkurat Pro" w:cs="Akkurat Pro" w:eastAsia="Akkurat Pro"/>
          <w:color w:val="auto"/>
          <w:spacing w:val="0"/>
          <w:position w:val="0"/>
          <w:sz w:val="22"/>
          <w:shd w:fill="auto" w:val="clear"/>
        </w:rPr>
      </w:pPr>
      <w:r>
        <w:rPr>
          <w:rFonts w:ascii="Akkurat Pro" w:hAnsi="Akkurat Pro" w:cs="Akkurat Pro" w:eastAsia="Akkurat Pro"/>
          <w:color w:val="auto"/>
          <w:spacing w:val="0"/>
          <w:position w:val="0"/>
          <w:sz w:val="22"/>
          <w:shd w:fill="auto" w:val="clear"/>
        </w:rPr>
        <w:t xml:space="preserve">Authors: </w:t>
      </w:r>
    </w:p>
    <w:p>
      <w:pPr>
        <w:spacing w:before="0" w:after="0" w:line="280"/>
        <w:ind w:right="703" w:left="0" w:firstLine="0"/>
        <w:jc w:val="both"/>
        <w:rPr>
          <w:rFonts w:ascii="Akkurat Pro" w:hAnsi="Akkurat Pro" w:cs="Akkurat Pro" w:eastAsia="Akkurat Pro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July 29, 2015</w:t>
      </w:r>
    </w:p>
    <w:p>
      <w:pPr>
        <w:tabs>
          <w:tab w:val="left" w:pos="1701" w:leader="none"/>
        </w:tabs>
        <w:spacing w:before="396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Owner:</w:t>
        <w:tab/>
      </w:r>
    </w:p>
    <w:p>
      <w:pPr>
        <w:tabs>
          <w:tab w:val="left" w:pos="1701" w:leader="none"/>
        </w:tabs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Approvers:</w:t>
        <w:tab/>
      </w:r>
    </w:p>
    <w:p>
      <w:pPr>
        <w:tabs>
          <w:tab w:val="left" w:pos="1701" w:leader="none"/>
        </w:tabs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Distribution list:</w:t>
        <w:tab/>
      </w:r>
    </w:p>
    <w:p>
      <w:pPr>
        <w:keepNext w:val="true"/>
        <w:keepLines w:val="true"/>
        <w:spacing w:before="240" w:after="120" w:line="28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240" w:after="120" w:line="28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Contents</w:t>
      </w:r>
    </w:p>
    <w:p>
      <w:pPr>
        <w:tabs>
          <w:tab w:val="left" w:pos="567" w:leader="none"/>
          <w:tab w:val="left" w:pos="851" w:leader="none"/>
          <w:tab w:val="right" w:pos="8647" w:leader="dot"/>
        </w:tabs>
        <w:spacing w:before="12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Context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4</w:t>
      </w:r>
    </w:p>
    <w:p>
      <w:pPr>
        <w:tabs>
          <w:tab w:val="left" w:pos="567" w:leader="none"/>
          <w:tab w:val="left" w:pos="851" w:leader="none"/>
          <w:tab w:val="right" w:pos="8647" w:leader="dot"/>
        </w:tabs>
        <w:spacing w:before="12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User Story #9973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4</w:t>
      </w:r>
    </w:p>
    <w:p>
      <w:pPr>
        <w:tabs>
          <w:tab w:val="left" w:pos="567" w:leader="none"/>
          <w:tab w:val="left" w:pos="851" w:leader="none"/>
          <w:tab w:val="right" w:pos="8647" w:leader="dot"/>
        </w:tabs>
        <w:spacing w:before="12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Specifications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4</w:t>
      </w:r>
    </w:p>
    <w:p>
      <w:pPr>
        <w:tabs>
          <w:tab w:val="left" w:pos="567" w:leader="none"/>
          <w:tab w:val="left" w:pos="851" w:leader="none"/>
          <w:tab w:val="right" w:pos="8647" w:leader="dot"/>
        </w:tabs>
        <w:spacing w:before="12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Regional Subgroup complexity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5</w:t>
      </w:r>
    </w:p>
    <w:p>
      <w:pPr>
        <w:tabs>
          <w:tab w:val="left" w:pos="567" w:leader="none"/>
          <w:tab w:val="left" w:pos="851" w:leader="none"/>
          <w:tab w:val="right" w:pos="8647" w:leader="dot"/>
        </w:tabs>
        <w:spacing w:before="12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Traces and screenshots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5</w:t>
      </w:r>
    </w:p>
    <w:p>
      <w:pPr>
        <w:keepNext w:val="true"/>
        <w:keepLines w:val="true"/>
        <w:spacing w:before="240" w:after="120" w:line="28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51" w:leader="none"/>
          <w:tab w:val="right" w:pos="8647" w:leader="dot"/>
        </w:tabs>
        <w:spacing w:before="40" w:after="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51" w:leader="none"/>
          <w:tab w:val="right" w:pos="8647" w:leader="dot"/>
        </w:tabs>
        <w:spacing w:before="40" w:after="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10"/>
        </w:numPr>
        <w:tabs>
          <w:tab w:val="left" w:pos="567" w:leader="none"/>
        </w:tabs>
        <w:spacing w:before="360" w:after="240" w:line="28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  <w:t xml:space="preserve">Context</w:t>
      </w:r>
    </w:p>
    <w:p>
      <w:pPr>
        <w:spacing w:before="0" w:after="120" w:line="28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many countries, there is the demand for the distribution of regional TV programs. In most cases, regional window programs have to be distributed once a day for about one hour replacing a national content. However, to deal with this, the broadcaster has to configure as many statmux pools as existing regional contents.</w:t>
      </w:r>
    </w:p>
    <w:p>
      <w:pPr>
        <w:spacing w:before="0" w:after="120" w:line="28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aim of this story is to be able to manage the pool bandwidth with national and regional contents by computing a unique bitrate for all channels belonging to a regional ID. It allows dealing with only one statmux pool.</w:t>
      </w:r>
    </w:p>
    <w:p>
      <w:pPr>
        <w:keepNext w:val="true"/>
        <w:keepLines w:val="true"/>
        <w:numPr>
          <w:ilvl w:val="0"/>
          <w:numId w:val="12"/>
        </w:numPr>
        <w:tabs>
          <w:tab w:val="left" w:pos="567" w:leader="none"/>
        </w:tabs>
        <w:spacing w:before="360" w:after="240" w:line="28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  <w:t xml:space="preserve">User Story #9973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484848"/>
          <w:spacing w:val="0"/>
          <w:position w:val="0"/>
          <w:sz w:val="18"/>
          <w:shd w:fill="FFFFDD" w:val="clear"/>
        </w:rPr>
      </w:pPr>
      <w:r>
        <w:rPr>
          <w:rFonts w:ascii="Verdana" w:hAnsi="Verdana" w:cs="Verdana" w:eastAsia="Verdana"/>
          <w:b/>
          <w:color w:val="484848"/>
          <w:spacing w:val="0"/>
          <w:position w:val="0"/>
          <w:sz w:val="18"/>
          <w:shd w:fill="FFFFDD" w:val="clear"/>
        </w:rPr>
        <w:t xml:space="preserve">Description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484848"/>
          <w:spacing w:val="0"/>
          <w:position w:val="0"/>
          <w:sz w:val="18"/>
          <w:shd w:fill="FFFFDD" w:val="clear"/>
        </w:rPr>
      </w:pPr>
      <w:r>
        <w:rPr>
          <w:rFonts w:ascii="Verdana" w:hAnsi="Verdana" w:cs="Verdana" w:eastAsia="Verdana"/>
          <w:b/>
          <w:color w:val="484848"/>
          <w:spacing w:val="0"/>
          <w:position w:val="0"/>
          <w:sz w:val="18"/>
          <w:shd w:fill="FFFFDD" w:val="clear"/>
        </w:rPr>
        <w:t xml:space="preserve">as a</w:t>
      </w:r>
      <w:r>
        <w:rPr>
          <w:rFonts w:ascii="Verdana" w:hAnsi="Verdana" w:cs="Verdana" w:eastAsia="Verdana"/>
          <w:color w:val="484848"/>
          <w:spacing w:val="0"/>
          <w:position w:val="0"/>
          <w:sz w:val="18"/>
          <w:shd w:fill="FFFFDD" w:val="clear"/>
        </w:rPr>
        <w:t xml:space="preserve"> broadcaster</w:t>
        <w:br/>
      </w:r>
      <w:r>
        <w:rPr>
          <w:rFonts w:ascii="Verdana" w:hAnsi="Verdana" w:cs="Verdana" w:eastAsia="Verdana"/>
          <w:b/>
          <w:color w:val="484848"/>
          <w:spacing w:val="0"/>
          <w:position w:val="0"/>
          <w:sz w:val="18"/>
          <w:shd w:fill="FFFFDD" w:val="clear"/>
        </w:rPr>
        <w:t xml:space="preserve">I want to</w:t>
      </w:r>
      <w:r>
        <w:rPr>
          <w:rFonts w:ascii="Verdana" w:hAnsi="Verdana" w:cs="Verdana" w:eastAsia="Verdana"/>
          <w:color w:val="484848"/>
          <w:spacing w:val="0"/>
          <w:position w:val="0"/>
          <w:sz w:val="18"/>
          <w:shd w:fill="FFFFDD" w:val="clear"/>
        </w:rPr>
        <w:t xml:space="preserve"> insert Regional Content in a transponder (statmux environment)</w:t>
        <w:br/>
      </w:r>
      <w:r>
        <w:rPr>
          <w:rFonts w:ascii="Verdana" w:hAnsi="Verdana" w:cs="Verdana" w:eastAsia="Verdana"/>
          <w:b/>
          <w:color w:val="484848"/>
          <w:spacing w:val="0"/>
          <w:position w:val="0"/>
          <w:sz w:val="18"/>
          <w:shd w:fill="FFFFDD" w:val="clear"/>
        </w:rPr>
        <w:t xml:space="preserve">so that</w:t>
      </w:r>
      <w:r>
        <w:rPr>
          <w:rFonts w:ascii="Verdana" w:hAnsi="Verdana" w:cs="Verdana" w:eastAsia="Verdana"/>
          <w:color w:val="484848"/>
          <w:spacing w:val="0"/>
          <w:position w:val="0"/>
          <w:sz w:val="18"/>
          <w:shd w:fill="FFFFDD" w:val="clear"/>
        </w:rPr>
        <w:t xml:space="preserve"> the regional content is in VBR mode based on the mean/max/min complexity of all the regional contents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484848"/>
          <w:spacing w:val="0"/>
          <w:position w:val="0"/>
          <w:sz w:val="18"/>
          <w:shd w:fill="FFFFDD" w:val="clear"/>
        </w:rPr>
      </w:pPr>
      <w:r>
        <w:rPr>
          <w:rFonts w:ascii="Verdana" w:hAnsi="Verdana" w:cs="Verdana" w:eastAsia="Verdana"/>
          <w:b/>
          <w:color w:val="484848"/>
          <w:spacing w:val="0"/>
          <w:position w:val="0"/>
          <w:sz w:val="18"/>
          <w:shd w:fill="FFFFDD" w:val="clear"/>
        </w:rPr>
        <w:t xml:space="preserve">Acceptance criteria</w:t>
      </w:r>
      <w:r>
        <w:rPr>
          <w:rFonts w:ascii="Verdana" w:hAnsi="Verdana" w:cs="Verdana" w:eastAsia="Verdana"/>
          <w:color w:val="484848"/>
          <w:spacing w:val="0"/>
          <w:position w:val="0"/>
          <w:sz w:val="18"/>
          <w:shd w:fill="FFFFDD" w:val="clear"/>
        </w:rPr>
        <w:br/>
        <w:t xml:space="preserve">Regional channels register to a sub group of statmux and are assigned the same bit rate based on the mean/ max complexity of the sub group.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484848"/>
          <w:spacing w:val="0"/>
          <w:position w:val="0"/>
          <w:sz w:val="18"/>
          <w:shd w:fill="FFFFDD" w:val="clear"/>
        </w:rPr>
      </w:pPr>
      <w:r>
        <w:rPr>
          <w:rFonts w:ascii="Verdana" w:hAnsi="Verdana" w:cs="Verdana" w:eastAsia="Verdana"/>
          <w:b/>
          <w:color w:val="484848"/>
          <w:spacing w:val="0"/>
          <w:position w:val="0"/>
          <w:sz w:val="18"/>
          <w:shd w:fill="FFFFDD" w:val="clear"/>
        </w:rPr>
        <w:t xml:space="preserve">Comment</w:t>
      </w:r>
      <w:r>
        <w:rPr>
          <w:rFonts w:ascii="Verdana" w:hAnsi="Verdana" w:cs="Verdana" w:eastAsia="Verdana"/>
          <w:color w:val="484848"/>
          <w:spacing w:val="0"/>
          <w:position w:val="0"/>
          <w:sz w:val="18"/>
          <w:shd w:fill="FFFFDD" w:val="clear"/>
        </w:rPr>
        <w:br/>
        <w:t xml:space="preserve">Sub groups are set via the GUI for each slave.</w:t>
        <w:br/>
        <w:t xml:space="preserve">a detailed description is provided in the attached document p11</w:t>
      </w:r>
    </w:p>
    <w:p>
      <w:pPr>
        <w:keepNext w:val="true"/>
        <w:keepLines w:val="true"/>
        <w:numPr>
          <w:ilvl w:val="0"/>
          <w:numId w:val="14"/>
        </w:numPr>
        <w:tabs>
          <w:tab w:val="left" w:pos="567" w:leader="none"/>
        </w:tabs>
        <w:spacing w:before="360" w:after="240" w:line="28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  <w:t xml:space="preserve">Specifications</w:t>
      </w:r>
    </w:p>
    <w:p>
      <w:pPr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regional is set via the GUI. Only 4 different regional IDs are possible. </w:t>
      </w:r>
    </w:p>
    <w:p>
      <w:pPr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7660" w:dyaOrig="2750">
          <v:rect xmlns:o="urn:schemas-microsoft-com:office:office" xmlns:v="urn:schemas-microsoft-com:vml" id="rectole0000000001" style="width:383.000000pt;height:137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 default, all channels will set none.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expected behavior is:</w:t>
      </w:r>
    </w:p>
    <w:p>
      <w:pPr>
        <w:numPr>
          <w:ilvl w:val="0"/>
          <w:numId w:val="17"/>
        </w:numPr>
        <w:spacing w:before="0" w:after="200" w:line="276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all video channels belonging to the same regional subgroup have the same bitrate (even if one of the channels is not responding).</w:t>
      </w:r>
    </w:p>
    <w:p>
      <w:pPr>
        <w:numPr>
          <w:ilvl w:val="0"/>
          <w:numId w:val="17"/>
        </w:numPr>
        <w:spacing w:before="0" w:after="200" w:line="276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Regional subgroup bitrate respects the maximum of channels’ minimum bitrate (respectively the minimum of channels’ maximum bitrate).</w:t>
      </w:r>
    </w:p>
    <w:p>
      <w:pPr>
        <w:numPr>
          <w:ilvl w:val="0"/>
          <w:numId w:val="17"/>
        </w:numPr>
        <w:spacing w:before="0" w:after="200" w:line="276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each regional subgroup, the bandwidth is allocated to all kind of PID (video, audio and private). Note that only one audio and one private stream is  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tolerated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each profile.</w:t>
      </w:r>
    </w:p>
    <w:p>
      <w:pPr>
        <w:numPr>
          <w:ilvl w:val="0"/>
          <w:numId w:val="17"/>
        </w:numPr>
        <w:spacing w:before="0" w:after="200" w:line="276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TS overflow occurs when regional subgroup are used.</w:t>
      </w:r>
    </w:p>
    <w:p>
      <w:pPr>
        <w:numPr>
          <w:ilvl w:val="0"/>
          <w:numId w:val="17"/>
        </w:numPr>
        <w:spacing w:before="0" w:after="200" w:line="276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Regional subgroup complexity is tunable. </w:t>
      </w:r>
    </w:p>
    <w:p>
      <w:pPr>
        <w:keepNext w:val="true"/>
        <w:keepLines w:val="true"/>
        <w:numPr>
          <w:ilvl w:val="0"/>
          <w:numId w:val="17"/>
        </w:numPr>
        <w:tabs>
          <w:tab w:val="left" w:pos="567" w:leader="none"/>
        </w:tabs>
        <w:spacing w:before="360" w:after="240" w:line="28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  <w:t xml:space="preserve">Regional Subgroup complexity</w:t>
      </w:r>
    </w:p>
    <w:p>
      <w:pPr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Regional subgroup complexity can be computed in various ways thanks to </w:t>
      </w:r>
      <w:r>
        <w:rPr>
          <w:rFonts w:ascii="Courier New" w:hAnsi="Courier New" w:cs="Courier New" w:eastAsia="Courier New"/>
          <w:color w:val="A31515"/>
          <w:spacing w:val="0"/>
          <w:position w:val="0"/>
          <w:sz w:val="20"/>
          <w:shd w:fill="auto" w:val="clear"/>
        </w:rPr>
        <w:t xml:space="preserve">statmux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ourier New" w:hAnsi="Courier New" w:cs="Courier New" w:eastAsia="Courier New"/>
          <w:color w:val="A31515"/>
          <w:spacing w:val="0"/>
          <w:position w:val="0"/>
          <w:sz w:val="20"/>
          <w:shd w:fill="auto" w:val="clear"/>
        </w:rPr>
        <w:t xml:space="preserve"> smxRegionalCpxMode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20"/>
        </w:numPr>
        <w:spacing w:before="0" w:after="120" w:line="28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0: smart average: compute the average complexity of the regional subgroup with removing the outliers. (Default value).</w:t>
      </w:r>
    </w:p>
    <w:p>
      <w:pPr>
        <w:numPr>
          <w:ilvl w:val="0"/>
          <w:numId w:val="20"/>
        </w:numPr>
        <w:spacing w:before="0" w:after="120" w:line="28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1: average complexity: compute the average complexity of the regional subgroup.</w:t>
      </w:r>
    </w:p>
    <w:p>
      <w:pPr>
        <w:numPr>
          <w:ilvl w:val="0"/>
          <w:numId w:val="20"/>
        </w:numPr>
        <w:spacing w:before="0" w:after="120" w:line="28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2: maximal complexity: compute the maximal complexity of the regional subgroup.</w:t>
      </w:r>
    </w:p>
    <w:p>
      <w:pPr>
        <w:keepNext w:val="true"/>
        <w:keepLines w:val="true"/>
        <w:numPr>
          <w:ilvl w:val="0"/>
          <w:numId w:val="20"/>
        </w:numPr>
        <w:tabs>
          <w:tab w:val="left" w:pos="567" w:leader="none"/>
        </w:tabs>
        <w:spacing w:before="360" w:after="240" w:line="280"/>
        <w:ind w:right="0" w:left="431" w:hanging="431"/>
        <w:jc w:val="both"/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8"/>
          <w:shd w:fill="auto" w:val="clear"/>
        </w:rPr>
        <w:t xml:space="preserve">Traces and screenshots</w:t>
      </w:r>
    </w:p>
    <w:p>
      <w:pPr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regional subgroup is now traced in smx traces. Note that all channels with the same regional Id have the same bitrate even if the complexity is different.</w:t>
      </w:r>
    </w:p>
    <w:p>
      <w:pPr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294" w:dyaOrig="3292">
          <v:rect xmlns:o="urn:schemas-microsoft-com:office:office" xmlns:v="urn:schemas-microsoft-com:vml" id="rectole0000000002" style="width:414.700000pt;height:164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2">
    <w:abstractNumId w:val="18"/>
  </w:num>
  <w:num w:numId="14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